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2011/383 vom 26. September 2013</w:t>
      </w:r>
    </w:p>
    <w:p>
      <w:r>
        <w:t>Sg Versicherungsgericht, 2013-09-26, DE</w:t>
      </w:r>
    </w:p>
    <w:p>
      <w:r>
        <w:rPr>
          <w:b/>
        </w:rPr>
        <w:t xml:space="preserve">Quelle: </w:t>
      </w:r>
      <w:r>
        <w:t>https://mcp.opencaselaw.ch/entscheid/sg_publikationen_IV 2011_383</w:t>
      </w:r>
    </w:p>
    <w:p>
      <w:r>
        <w:t>FR: SG_VERSICHERUNGSGERICHT IV 2011/383 du 26 septembre 2013</w:t>
      </w:r>
    </w:p>
    <w:p>
      <w:r>
        <w:t>IT: SG_VERSICHERUNGSGERICHT IV 2011/383 del 26 settembre 2013</w:t>
      </w:r>
    </w:p>
    <w:p>
      <w:pPr>
        <w:pStyle w:val="Heading2"/>
      </w:pPr>
      <w:r>
        <w:t>Regeste</w:t>
      </w:r>
    </w:p>
    <w:p>
      <w:r>
        <w:t>Art. 43 und 16 ATSG. Würdigung eines polydisziplinären Gutachtens. Das Gutachten ist beweistauglich. Anwendungsfall des Prozentvergleichs (Entscheid des Versicherungsgerichts des Kantons St. Gallen vom 26. September 2013, IV 2011/383).</w:t>
      </w:r>
    </w:p>
    <w:p>
      <w:pPr>
        <w:pStyle w:val="Heading2"/>
      </w:pPr>
      <w:r>
        <w:t>Erwägungen</w:t>
      </w:r>
    </w:p>
    <w:p>
      <w:r>
        <w:rPr>
          <w:b/>
        </w:rPr>
        <w:t>E. 1</w:t>
      </w:r>
    </w:p>
    <w:p>
      <w:r>
        <w:t>1.1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1.2  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Zunächst ist die Frage zu beantworten, ob die medizinische Aktenlage eine rechtsgenügliche Beurteilung der Restarbeitsfähigkeit der Beschwerdeführerin erlaubt. 2.1  Die Beschwerdeführerin wurde am 25. Mai 2010 in der ABI GmbH begutachtet. Das polydisziplinäre Gutachten vom 5. Juli 2010 bestand aus einer psychiatrischen und einer orthopädischen Untersuchung sowie aus einer internistischen/allgemeinmedizinischen Beurteilung. 2.2  Aus psychiatrischer Sicht sind keine Diagnosen mit Einfluss auf die Arbeitsfähigkeit gestellt worden. Der Gutachter Dr. med. J.___, FMH Psychiatrie und Psycho­therapie, hat als Diagnose ohne Einfluss auf die Arbeitsfähigkeit eine Schmerzver­arbeitungsstörung genannt (ICD-10 F54). In der psychopathologischen Befundauf­nahme hat der Gutachter ausgeführt, die Beschwerdeführerin habe als Hauptbe­schwerden vor allem Schmerzen in der rechten Hand, Asthmabeschwerden und Müdig­keit angegeben. Sie habe aber auch diffuse Schmerzen im übrigen Bewegungsapparat und Schlafstörungen in der Nacht angegeben und über die angespannte finanzielle Situation gesprochen. Der affektive Kontakt sei gut herstellbar gewesen. Die Be­schwerdeführerin habe mit fester Stimme gesprochen, ihre Mimik und Gestik seien normal ausgeprägt und die affektive Modulation nicht eingeschränkt gewesen. Während des Gesprächs habe die Beschwerdeführerin keine Schmerzwahrnehmung gezeigt. Sie sei bewusstseinsklar und allseits orientiert gewesen. Die Aufmerksamkeit, die Auf­fassung und das Gedächtnis seien nicht beeinträchtigt gewesen. Das Denken sei formal geordnet und inhaltlich seien keine Wahnideen, Halluzinationen und Ich-Störungen vor­handen gewesen. Die Beschwerdeführerin habe angegeben, ausserhalb der Familie wenige Kontakte zu haben. Die Beziehungsfähigkeit sei nicht gestört, der Antrieb leicht herabgesetzt bei gut erhaltener Intentionalität und die Selbstwertregulation gut ausge­prägt gewesen. Die Abwehrmechanismen seien nicht gestört gewesen (IV-act. 81-20 f.). In der psychiatrischen Beurteilung hat Dr. J.___ berichtet, dass differentialdiagnos­tisch auch an eine somatoforme Störung zu denken sei. Dafür seien aber die psycho­sozialen oder emotionalen Belastungsfaktoren zu wenig ausgeprägt gewesen, um als hauptsächliche ursächliche Einflüsse der Beschwerden gelten zu können. Es handle sich auch nicht um ein ausschliessliches Rentenbegehren (Entwicklung körperlicher Symptome aus psychischen Gründen oder Rentenneurose, IV-act. 81-21). In der Stellungnahme zur Selbsteinschätzung/Inkonsistenzen ist ausgeführt worden, die Beschwerdeführerin fühle sich nicht mehr arbeitsfähig. Sie leide aber nicht unter einer schweren chronischen somatischen Erkrankung und aus somatischer Sicht seien ihr durchaus Tätigkeiten zumutbar. Es bestünden lebensgeschichtliche Enttäuschungen durch den Tod ihres Ehemannes wegen eines Tumorleidens. Es bestehe eine angespannte finanzielle Situation. Diese Faktoren seien primär krankheitsfremd. Lediglich aufgrund einer Schmerzverarbeitungsstörung (Symptomausweitung) ohne deutliche psychiatrische Komorbidität könne keine Arbeitsunfähigkeit attestiert werden. Innerhalb der Familie habe die Beschwerdeführerin sehr gute Kontakte. Flugreisen in die Heimat seien ihr möglich. Zur Arbeitsfähigkeit aus psychiatrischer Sicht hat der Gutachter Dr. J.___ folgendes ausgeführt: Es bestehe keine Einschränkung der Arbeitsfähigkeit. Eine psychiatrische Diagnose mit Einfluss auf die Arbeitsfähigkeit könne nicht ge­stellt werden. Eine affektive Störung bestehe nicht. Hinweise auf unbewusste Konflikte seien nicht vorhanden, ein primärer Krankheitsgewinn sei somit nicht erwiesen. Die komplexen Ich-Funktionen seien nicht deutlich gestört. Auffällige Persönlichkeitszüge für die Diagnose einer Persönlichkeitsstörung mit Einfluss auf die Arbeitsfähigkeit be­stünden nicht. Daher könne es der Explorandin trotz der geklagten Beschwerden aus psychiatrischer Sicht zugemutet werden, einer ihren körperlichen Einschränkungen angepassten Tätigkeit ganztags und ohne Leistungseinschränkungen nachzugehen (IV-act. 81-22). 2.3  Im orthopädischen Teilgutachten (IV-act. 81-23 ff.) ist ausgeführt worden, dass sich die von der Beschwerdeführerin angegebenen, sehr diffusen Beschwerden durch die klinischen und radiologischen Befunde keinesfalls vollständig hätten begründen lassen. Hinzuweisen sei dabei insbesondere auf die fehlenden Zeichen längerdauernder körperlicher Schonung bei praktisch identischen Umfängen an Ober- und Vorderarm und auf eine deutliche palmare Beschwielung rechts. Auch das fehlende Ansprechen auf nach wie vor erfolgende konservative Therapiemassnahmen sowie die mittlerweile mehrjährige Arbeitskarenz könnten als klarer Hinweis für eine deutliche nicht-organische Beschwerdekomponente angesehen werden. Auch komme nicht klar zum Ausdruck, wie gross der Leidensdruck durch die somatischen Beschwerden effektiv sei, da die Beschwerdeführerin ausgerechnet am Untersuchungstag keinerlei Analgetika zu sich genommen habe, obwohl die voraussehbare Belastung mit dem Anreiseweg und der bevorstehenden körperlichen Untersuchung als überdurchschnittlich hoch zu betrachten sei. Insgesamt bestünden erhebliche Hinweise für eine Ausweitung der Schmerz­problematik. Zur Arbeitsfähigkeit aus orthopädischer Sicht hat der Gutachter Dr. med. K.___, FMH Orthopädische Chirurgie, folgendes ausgeführt: Für körperlich leichte Tätigkeiten unter Wechselbelastung liege aus rein orthopädischer Sicht eine zeitlich und leistungsmässig uneingeschränkte Arbeitsfähigkeit vor. Das Heben und Tragen von Lasten über 10 kg mit der linken sowie 5 kg mit der rechten Hand sollte dabei ebenso wie wiederholte Umwendbewegungen im Bereich des rechten Handgelenkes vermieden werden. In Anbetracht der erhobenen Befunde sollte bei einer derart angepassten Tätigkeit im Vergleich zum aktuellen Alltagsleben kaum eine wesentliche Schmerz­provokation entstehen, so dass diese auch zumutbar sei (IV-act. 81-28). 2.4  Gesamthaft gesehen bestehe bei der Beschwerdeführerin für körperlich schwere und mittelschwere Tätigkeiten seit dem Unfall vom 7. Juni 2007 bleibend eine volle Arbeitsunfähigkeit. Für körperlich leichte, wechselbelastende Tätigkeiten bestehe eine Arbeits- und Leistungsfähigkeit von 100 %. Medizinische Massnahmen seien vorzuschlagen, berufliche Massnahmen hingegen nicht (IV-act. 81-34). 2.5  Dass der Beschwerdeführerin körperlich schwere und mittelschwere Tätigkeiten nicht mehr zumutbar sind, sie jedoch in einer adaptierten Tätigkeit nicht in ihrer Arbeits­fähigkeit eingeschränkt ist, erscheint aufgrund der Diagnosestellung und der be­schriebenen Befunde nachvollziehbar. In der Stellungnahme zu den von Dr. D.___ im Bericht vom 19. November 2009 aufgeführten Diagnosen und zu seinem Zweifel an einer Arbeitsfähigkeit auch in adaptierter Tätigkeit aufgrund multipler Gelenksbe­schwerden und bisher schwer einstellbarer rheumatoider Arthritis führten die Gutachter folgendes aus: Unter der Basistherapie mit Humira und Arava habe eine klinisch oder paraklinische gute Krankheitskontrolle der Arthritis objektiviert werden können, so dass diese Erkrankung derzeit für körperlich leichte, adaptierte Tätigkeit nicht limitierend sei. Die Beschwerden im Bereich des gesamten Bewegungsapparates liessen sich durch die klinischen und radiologischen Befunde keinesfalls vollständig begründen. Ins­besondere fehlten Zeichen länger dauernder körperlicher Schonung bei praktisch identischen Umfängen an Ober- und Vorderarm einerseits sowie durchaus auf der rechten Seite deutlicher palmarer Beschwielung. Daher sei eine körperlich leichte, adaptierte Tätigkeit durchaus zumutbar (IV-act. 81-33 f.). Der orthopädische Gutachter hat sich im Weiteren ebenfalls schlüssig und nachvollziehbar zum ärztlichen Bericht des Rheumatologen Dr. G.___ vom 19. März 2010 geäussert: Der klinischen Einschätzung Dr. G.___s könne aufgrund der aktuellen Untersuchung vollständig zugestimmt werden. Es fehlten weiterhin Synovitiden und die diffuse Druckdolenz an Vorderarm, Hand­gelenk, Handwurzel, Mittelhand und Fingern könne nicht eindeutig auf ein morpho­logisches Korrelat zurückgeführt werden. Obwohl die Steroiddosis zwischenzeitlich auf 10 mg täglich vermindert worden ist, seien aktuell keine relevanten entzündlichen Ver­änderungen festzustellen. Ergänzend sei festzuhalten, dass die rechtsbetonte, klinisch diagnostizierte Retropatellararthrose gemäss Röntgen vom 3. Juli 2007 nicht mani­festiert und die aktuelle Untersuchung bis auf eine geringe femoropatelläre Krepitation unauffällig gewesen sei. Bezüglich Arbeitsfähigkeit habe Dr. G.___ in einem Schreiben vom 21. Februar 2010 (gemeint wohl: 21. Januar 2010, IV-act. 73-2 ff.) fest­gehalten, dass bei gutem Ansprechen auf die Basistherapie leichte, nicht repetitive manuelle Tätigkeiten wieder möglich werden könnten. Auch dieser Einschätzung könne aufgrund der heutigen Untersuchung zugestimmt werden (IV-act. 81-29 f.). Die in der orthopädischen Begutachtung gestellten Diagnosen (IV-act. 81-27) stehen mit jenen der behandelnden Ärztin Dr. I.___ im Bericht vom 25. August 2011 (IV-act. 104-8 f.) grund­sätzlich im Einklang. Eine Osteopenie ist bereits von Dr. G.___ im - als Vorakte des ABI-Gutachten verwerteten - Untersuchungsbericht vom 19. März 2010 diagnostiziert worden (IV-act. 81-36). Zudem ist die Osteopenie im Bericht von Dr. G.___ vom 21. Januar 2010 unter den Diagnosen ohne Auswirkung auf die Arbeitsfähigkeit aufge­zählt worden (IV-act. 73-2). Einzig die Diagnose eines lumbospondylogenen Schmerz­syndroms beidseits mit intermittierenden Lumboradikulärsyndrom L5 beidseits bei Nucleus pulposus-Prolaps (NPP) L4/5 und einer Facettengelenksarthrose ist von Dr. I.___ neu genannt worden. Im Hinblick auf diese Diagnose (Bandscheibenvorfall) hat Dr. I.___ in der Arbeitsfähigkeitsbeurteilung ausgeführt, dass Tätigkeiten mit Heben und Tragen sowie Arbeiten in Zwangshaltungen nicht möglich seien (IV-act. 104-9). Dem Gutachten ist zu entnehmen, dass für körperlich leichte, wechselbelastende, adaptierte Tätigkeiten ohne Heben und Tragen von Lasten über 10 kg mit der linken Hand sowie 5 kg mit der rechten Hand aus orthopädischer Sicht keine Einschränkung der Arbeitsfähigkeit bestehe (IV-act. 81-32). Der gutachterliche Arbeitsbeschrieb einer ideal leidensadaptierten Tätigkeit, bei welcher eine Arbeits- und Leistungsfähigkeit zu 100 % möglich ist, erscheint somit auch unter Berücksichtigung der genannten neuen Diag­nose von Dr. I.___ mit überwiegender Wahrscheinlichkeit als plausibel. Auch vor dem Hintergrund der medizinischen Abklärungen der ABI GmbH erscheint daher die im Bericht von Dr. I.___ ermittelte fehlende Arbeitsfähigkeit bzw. die nur stundenweise Arbeitsfähigkeit für leidensangepasste Tätigkeiten weder plausibel noch nachvoll­ziehbar, weshalb sie vorliegend keine Berücksichtigung finden kann. Angesichts der erhobenen Befunde sowie der Stellungnahme der ABI GmbH zu den Berichten von Dr. C.___, Suva-Kreisarzt Dr. Graf, Dr. H.___, Dr. G.___ und Dr. D.___ erscheinen die im ABI-Gutachten gestellten Diagnosen bzw. die Arbeitsfähigkeitsschätzung in adaptierter Tätigkeit als überzeugend. 2.6  Dem Einwand der Beschwerdeführerin, es fehle eine rheumatologische Unter­suchung, ist entgegenzuhalten, dass eine rheumatologische Abklärung keineswegs un­erlässlich ist, um eine vollständige und verlässliche Diagnose stellen und eine über­zeugende Arbeitsfähigkeitsschätzung abgeben zu können; eine rein orthopädische Ab­klärung muss mithin nicht unzureichend sein. Die Orthopädie und die Rheumatologie weisen bei der Art von Krankheiten, wie sie bei der Beschwerdeführerin vorliegen, viele Berührungspunkte auf (vgl. Urteile des Bundesgerichts vom 21. September 2010, 9C_203/2010, E. 4.1; vom 26. Januar 2011, 9C_547/2010, E. 4.1, sowie vom 23. Mai 2012, 9C_270/2012, E. 4.2). Deshalb war der mit der Untersuchung befasste Orthopäde Dr. K.___ durchaus in der Lage zu beurteilen, ob der Beizug eines Rheumatologen not­wendig sei oder nicht, zumal RAD-Ärztin Dr. B.___ den Beizug eines Rheuma­tologen ebenfalls nicht als notwendig erachtete (IV-act. 82-2, 107-1 f.) und sowohl der Bericht vom 21. Januar 2010 als auch der Untersuchungsbericht vom 19. März 2010 des Rheumatologen Dr. G.___ in das Gutachten Eingang gefunden haben (IV-act. 81-14, 81-29 f.). 2.7  Die Ausführungen der Gutachter erscheinen, insbesondere auch unter Berücksichtigung der Stellungnahmen des RAD, als schlüssig. Dass eine neue somatische Diagnose, nämlich das lumbospondylogene Schmerzsyndrom beidseits mit inter­mittierenden Lumboradikulärsyndrom L5 beidseits bei NPP L4/5 und Facettengelenks­arthrose, im Bericht von Dr. I.___ hinzugekommen ist, vermag die Beweistauglichkeit des Gutachtens nicht in Frage zu stellen, weil der gutachterliche Arbeitsbeschrieb einer ideal leidensadaptierten Tätigkeit, bei welcher eine Arbeits- und Leistungsfähigkeit zu 100 % möglich ist, auch unter Berücksichtigung der genannten neuen Diagnose mit überwiegender Wahrscheinlichkeit noch plausibel erscheint. Das Gutachten ist schlüssig und nachvollziehbar. Bei der Würdigung der gutachterlichen Beurteilung fällt weiter ins Gewicht, dass sie auf eigenständigen Abklärungen beruht und für die streitigen Belange umfassend ist. Die medizinischen Vorakten wurden verwertet und die von der Be­schwerdeführerin geklagten Beschwerden berücksichtigt und gewürdigt. Das Gutachten bzw. die darin vorgenommene medizinische Arbeitsfähigkeitsschätzung kann daher grundsätzlich für die Bemessung des Invalideneinkommens beigezogen werden. Ange­sichts der umfassenden medizinischen Abklärung besteht kein Anlass zu weiteren ärzt­lichen Untersuchungen, weil davon für den massgeblichen Zeitpunkt des Verfügungserlasses (24. Oktober 2011) keine neuen Erkenntnisse zu erwarten sind. Es steht des­halb mit überwiegender Wahrscheinlichkeit fest, dass die Beschwerdeführerin in einer adaptierten Erwerbstätigkeit zu 100 % arbeitsfähig ist. Die Beschwerdegegnerin hat damit der Bestimmung des Invaliditätsgrades in der angefochtenen Verfügung zu Recht die gutachterliche Leistungsfähigkeitsbeurteilung zugrunde gelegt. 2.8  Zu prüfen ist im Weiteren die in der angefochtenen Verfügung vorgenommene Invaliditätsbemessung. Diese hat mittels Einkommensvergleichs zu erfolgen. 2.9  Für die Ermittlung des Einkommens, welches die Beschwerdeführerin ohne Invalidität erzielen könnte (Valideneinkommen), ist entscheidend, was sie im Zeitpunkt des frühestmöglichen Rentenbeginns nach dem Beweisgrad der überwiegenden Wahr­scheinlichkeit als Gesunde tatsächlich verdient hätte (BGE 129 V 222 E. 4.3.1). Da das Wartejahr im Sinne von Art. 28 Abs. 1 lit. b IVG mit dem Eintritt der - zeitlich und mass­lich genügenden - Arbeitsunfähigkeit, definiert als "Einbusse an funktionellem Leistungs­vermögen im bisherigen Beruf oder Aufgabenbereich" (BGE 130 V 99 E. 3.2 mit Hin­weisen), beginnt, und ausgehend davon, dass die Beschwerdeführerin seit dem Unfall vom 7. Juni 2007 anhaltend zu 100 % arbeitsunfähig geschrieben (IV-act. 81-32) und die Anmeldung im Februar 2008 erfolgt ist (BGE 138 V 475), sind bei einem allfälligen Leistungsanspruch ab Juni 2008 somit dem Einkommensvergleich die Lohnverhält­nisse im Jahre 2008 zu Grunde zu legen. Gemäss Angaben der ehemaligen Arbeit­geberin hätte die Beschwerdeführerin im Jahr 2008 ein Einkommen von Fr. 44'200.-- (Fr. 3'400.-- x 13) erzielt (IV-act. 25-3). Das Valideneinkommen ist somit auf diesen Betrag festzusetzen. 2.10       Die Beschwerdeführerin war nach Eintritt des Gesundheitsschadens nicht mehr erwerbstätig. Beim Invalideneinkommen ist daher auf die Tabellenlöhne der vom Bundesamt für Statistik herausgegebenen Schweizerischen Lohnstrukturerhebung (LSE) abzustellen (BGE 129 V 472 Erw. 4.2.1). Das Durchschnittseinkommen der Hilfs­arbeiterinnen gemäss Anhang 2 der Textausgabe IVG der Informationsstelle, welche auf die LSE abstellt, belief sich im Jahr 2008 auf Fr. 51'368.--. 2.11       Die Beschwerdeführerin erzielte somit vor Eintritt der Gesundheitsschädigung einen unterdurchschnittlichen Verdienst. Da keine Anhaltspunkte dafür bestehen, dass sie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2.12       Nach der Rechtsprechung können die statistischen Löhne um bis zu 25% gekürzt werden, um dem Umstand Rechnung zu tragen, dass versicherte Personen mit einer gesundheitlichen Beeinträchtigung in der Regel das durchschnittliche Lohnniveau nicht erreichen (RKUV 1999 Nr. U242 S. 412 Erw. 4b/bb) bzw. ihre Restarbeitsfähigkeit auf dem allgemeinen Arbeitsmarkt nur mit unterdurchschnittlichem erwerblichem Erfolg zu verwerten in der Lage sind. Dabei handelt es sich um einen allgemeinen be­hinderungsbedingten Abzug (BGE 126 V 78 Erw. 5a/bb). 2.13       Der Invaliditätsgrad beträgt demnach maximal 25 % (100 % - [1 x 75 %]). Die Beschwerdegegnerin hat den Rentenanspruch daher zu Recht verneint.</w:t>
      </w:r>
    </w:p>
    <w:p>
      <w:r>
        <w:rPr>
          <w:b/>
        </w:rPr>
        <w:t>E. 3</w:t>
      </w:r>
    </w:p>
    <w:p>
      <w:r>
        <w:t>3.1  Nach dem Ausgeführten ist die Beschwerde abzuweisen. 3.2  Der Beschwerdeführerin wurde am 9. Januar 2012 die unentgeltliche Rechtspflege (Befreiung von den Gerichtskosten und Bewilligung der unentgeltlichen Rechtsver­beiständung) bewilligt. 3.3  Das Beschwerdeverfahren ist kostenpflichtig. Die Kosten werden nach dem Verfahrensaufwand und unabhängig vom Streitwert im Rahmen von Fr. 200.-- bis Fr. 1’000.-- festgelegt (Art. 69 Abs. 1 bis IVG). Der unterliegenden Beschwerdeführerin sind die Gerichtskosten in der Höhe von Fr. 600.-- aufzuerlegen. Zufolge unentgeltlicher Rechtspflege ist sie von der Bezahlung zu befreien. 3.4  Die anwaltlich vertretene Beschwerdeführerin hat aufgrund der bewilligten unentgeltlichen Rechtspflege sodann grundsätzlich Anspruch auf Ersatz der Parteikosten, die vom Gericht ohne Rücksicht auf den Streitwert nach der Bedeutung der Streitsache und nach der Schwierigkeit des Prozesses bemessen werden (Art. 61 lit. g ATSG; vgl. auch Art. 98 ff. des Gesetzes über die Verwaltungsrechtspflege [VRP; sGS 951.1]). An­gemessen erscheint eine Entschädigung von pauschal Fr. 3’500.-- (einschliesslich Barauslagen und Mehrwertsteuer).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den Rechtsvertreter des Beschwerdeführers mit Fr. 2’800.-- (einschliesslich Baraus­lagen und Mehrwertsteuer) zu entschädigen. 3.5  Wenn es die wirtschaftlichen Verhältnisse der Beschwerdeführerin in der Zukunft einmal gestatten, kann sie jedoch zur Nachzahlung der Gerichtskosten und zur Rückzahlung der Auslagen für die Vertretung verpflichtet werden (Art. 99 Abs. 2 VRP i.V.m. Art. 123 der Schweizerischen Zivilprozessordnung [ZPO; SR 272]). Demgemäss hat das Versicherungsgericht entschieden: 1.       Die Beschwerde wird abgewiesen. 2.       Die Beschwerdeführerin wird im Sinne der Erwägungen von der Bezahlung der Gerichtskosten von Fr. 600.-- befreit. 3.       Der Staat hat den Rechtsvertreter der Beschwerdeführerin mit Fr. 2’800.-- (einschliesslich Barauslagen und Mehrwertsteuer) zu entschädigen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